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C0" w:rsidRDefault="006D25C0" w:rsidP="006D25C0">
      <w:pPr>
        <w:jc w:val="right"/>
        <w:rPr>
          <w:b/>
          <w:kern w:val="0"/>
        </w:rPr>
      </w:pP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</w:p>
    <w:p w:rsidR="006D25C0" w:rsidRDefault="006D25C0" w:rsidP="006D25C0">
      <w:pPr>
        <w:jc w:val="both"/>
        <w:rPr>
          <w:b/>
          <w:kern w:val="0"/>
        </w:rPr>
      </w:pPr>
    </w:p>
    <w:tbl>
      <w:tblPr>
        <w:tblW w:w="1063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261"/>
        <w:gridCol w:w="642"/>
        <w:gridCol w:w="261"/>
        <w:gridCol w:w="1576"/>
        <w:gridCol w:w="398"/>
        <w:gridCol w:w="244"/>
        <w:gridCol w:w="266"/>
        <w:gridCol w:w="4130"/>
        <w:gridCol w:w="470"/>
        <w:gridCol w:w="2356"/>
        <w:gridCol w:w="29"/>
      </w:tblGrid>
      <w:tr w:rsidR="006D25C0" w:rsidRPr="004E4F09" w:rsidTr="006D25C0">
        <w:trPr>
          <w:trHeight w:val="1188"/>
        </w:trPr>
        <w:tc>
          <w:tcPr>
            <w:tcW w:w="10633" w:type="dxa"/>
            <w:gridSpan w:val="11"/>
          </w:tcPr>
          <w:p w:rsidR="006D25C0" w:rsidRPr="004E4F09" w:rsidRDefault="006D25C0" w:rsidP="00F470C2">
            <w:pPr>
              <w:jc w:val="center"/>
              <w:rPr>
                <w:rFonts w:ascii="Georgia" w:hAnsi="Georgia"/>
                <w:b/>
                <w:kern w:val="0"/>
                <w:sz w:val="24"/>
                <w:szCs w:val="24"/>
              </w:rPr>
            </w:pPr>
            <w:r w:rsidRPr="004E4F09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0879BD99" wp14:editId="416B5094">
                  <wp:extent cx="533400" cy="685800"/>
                  <wp:effectExtent l="0" t="0" r="0" b="0"/>
                  <wp:docPr id="9" name="Рисунок 9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5C0" w:rsidRPr="004E4F09" w:rsidTr="006D25C0">
        <w:trPr>
          <w:trHeight w:val="1248"/>
        </w:trPr>
        <w:tc>
          <w:tcPr>
            <w:tcW w:w="10633" w:type="dxa"/>
            <w:gridSpan w:val="11"/>
          </w:tcPr>
          <w:p w:rsidR="006D25C0" w:rsidRPr="004E4F09" w:rsidRDefault="006D25C0" w:rsidP="00F470C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E4F09">
              <w:rPr>
                <w:b/>
                <w:kern w:val="0"/>
                <w:sz w:val="24"/>
                <w:szCs w:val="24"/>
              </w:rPr>
              <w:t>АДМИНИСТРАЦИЯ   ГОРОДСКОГО   ПОСЕЛЕНИЯ   ПРИОБЬЕ</w:t>
            </w:r>
          </w:p>
          <w:p w:rsidR="006D25C0" w:rsidRPr="004E4F09" w:rsidRDefault="006D25C0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Октябрьского района</w:t>
            </w:r>
          </w:p>
          <w:p w:rsidR="006D25C0" w:rsidRPr="004E4F09" w:rsidRDefault="006D25C0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Ханты-Мансийского автономного округа-Югры</w:t>
            </w:r>
          </w:p>
          <w:p w:rsidR="006D25C0" w:rsidRPr="004E4F09" w:rsidRDefault="006D25C0" w:rsidP="00F470C2">
            <w:pPr>
              <w:jc w:val="center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6D25C0" w:rsidRPr="004E4F09" w:rsidRDefault="006D25C0" w:rsidP="00F470C2">
            <w:pPr>
              <w:jc w:val="center"/>
              <w:rPr>
                <w:b/>
                <w:spacing w:val="20"/>
                <w:kern w:val="0"/>
                <w:sz w:val="24"/>
                <w:szCs w:val="24"/>
              </w:rPr>
            </w:pPr>
            <w:r w:rsidRPr="004E4F09">
              <w:rPr>
                <w:b/>
                <w:spacing w:val="20"/>
                <w:kern w:val="0"/>
                <w:sz w:val="24"/>
                <w:szCs w:val="24"/>
              </w:rPr>
              <w:t>ПОСТАНОВЛЕНИЕ</w:t>
            </w:r>
            <w:r w:rsidRPr="004E4F09">
              <w:rPr>
                <w:rFonts w:ascii="Georgia" w:hAnsi="Georgia"/>
                <w:b/>
                <w:kern w:val="0"/>
              </w:rPr>
              <w:t xml:space="preserve">  </w:t>
            </w:r>
          </w:p>
        </w:tc>
      </w:tr>
      <w:tr w:rsidR="006D25C0" w:rsidRPr="004E4F09" w:rsidTr="006D25C0">
        <w:trPr>
          <w:gridAfter w:val="1"/>
          <w:wAfter w:w="29" w:type="dxa"/>
          <w:trHeight w:val="432"/>
        </w:trPr>
        <w:tc>
          <w:tcPr>
            <w:tcW w:w="261" w:type="dxa"/>
            <w:vAlign w:val="bottom"/>
          </w:tcPr>
          <w:p w:rsidR="006D25C0" w:rsidRPr="004E4F09" w:rsidRDefault="006D25C0" w:rsidP="00F470C2">
            <w:pPr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«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5C0" w:rsidRPr="004E4F09" w:rsidRDefault="00176C67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261" w:type="dxa"/>
            <w:vAlign w:val="bottom"/>
          </w:tcPr>
          <w:p w:rsidR="006D25C0" w:rsidRPr="004E4F09" w:rsidRDefault="006D25C0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5C0" w:rsidRPr="004E4F09" w:rsidRDefault="00176C67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декабря</w:t>
            </w:r>
          </w:p>
        </w:tc>
        <w:tc>
          <w:tcPr>
            <w:tcW w:w="398" w:type="dxa"/>
            <w:vAlign w:val="bottom"/>
          </w:tcPr>
          <w:p w:rsidR="006D25C0" w:rsidRPr="004E4F09" w:rsidRDefault="006D25C0" w:rsidP="006D25C0">
            <w:pPr>
              <w:ind w:right="-108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5C0" w:rsidRPr="004E4F09" w:rsidRDefault="006D25C0" w:rsidP="00F470C2">
            <w:pPr>
              <w:rPr>
                <w:kern w:val="0"/>
                <w:sz w:val="24"/>
                <w:szCs w:val="24"/>
              </w:rPr>
            </w:pPr>
          </w:p>
          <w:p w:rsidR="006D25C0" w:rsidRPr="004E4F09" w:rsidRDefault="006D25C0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5C0" w:rsidRPr="004E4F09" w:rsidRDefault="006D25C0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4130" w:type="dxa"/>
            <w:vAlign w:val="bottom"/>
          </w:tcPr>
          <w:p w:rsidR="006D25C0" w:rsidRPr="004E4F09" w:rsidRDefault="006D25C0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6D25C0" w:rsidRPr="004E4F09" w:rsidRDefault="006D25C0" w:rsidP="00F470C2">
            <w:pPr>
              <w:jc w:val="center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5C0" w:rsidRPr="004E4F09" w:rsidRDefault="00176C67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616</w:t>
            </w:r>
            <w:bookmarkStart w:id="0" w:name="_GoBack"/>
            <w:bookmarkEnd w:id="0"/>
          </w:p>
        </w:tc>
      </w:tr>
      <w:tr w:rsidR="006D25C0" w:rsidRPr="004E4F09" w:rsidTr="006D25C0">
        <w:trPr>
          <w:trHeight w:val="329"/>
        </w:trPr>
        <w:tc>
          <w:tcPr>
            <w:tcW w:w="10633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D25C0" w:rsidRPr="004E4F09" w:rsidRDefault="006D25C0" w:rsidP="00F470C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E4F09">
              <w:rPr>
                <w:kern w:val="0"/>
                <w:sz w:val="24"/>
                <w:szCs w:val="24"/>
              </w:rPr>
              <w:t>п.г.т</w:t>
            </w:r>
            <w:proofErr w:type="spellEnd"/>
            <w:r w:rsidRPr="004E4F09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E4F09">
              <w:rPr>
                <w:kern w:val="0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6D25C0" w:rsidRPr="0023323A" w:rsidRDefault="006D25C0" w:rsidP="006D25C0">
      <w:pPr>
        <w:jc w:val="both"/>
        <w:rPr>
          <w:b/>
          <w:kern w:val="0"/>
        </w:rPr>
      </w:pPr>
    </w:p>
    <w:p w:rsidR="006D25C0" w:rsidRPr="001D4A5F" w:rsidRDefault="006D25C0" w:rsidP="006D25C0">
      <w:pPr>
        <w:rPr>
          <w:kern w:val="0"/>
          <w:sz w:val="24"/>
          <w:szCs w:val="24"/>
        </w:rPr>
      </w:pPr>
      <w:r w:rsidRPr="001D4A5F">
        <w:rPr>
          <w:kern w:val="0"/>
          <w:sz w:val="24"/>
          <w:szCs w:val="24"/>
        </w:rPr>
        <w:t xml:space="preserve">О внесении изменений в постановление главы  </w:t>
      </w:r>
    </w:p>
    <w:p w:rsidR="006D25C0" w:rsidRPr="001D4A5F" w:rsidRDefault="006D25C0" w:rsidP="006D25C0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19</w:t>
      </w:r>
      <w:r w:rsidRPr="001D4A5F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>06.2018г. №289</w:t>
      </w:r>
      <w:r w:rsidRPr="001D4A5F">
        <w:rPr>
          <w:kern w:val="0"/>
          <w:sz w:val="24"/>
          <w:szCs w:val="24"/>
        </w:rPr>
        <w:t xml:space="preserve"> </w:t>
      </w:r>
      <w:r w:rsidRPr="001D4A5F">
        <w:rPr>
          <w:sz w:val="24"/>
          <w:szCs w:val="24"/>
        </w:rPr>
        <w:t xml:space="preserve">Об утверждении административного регламента </w:t>
      </w:r>
    </w:p>
    <w:p w:rsidR="006D25C0" w:rsidRPr="001D4A5F" w:rsidRDefault="006D25C0" w:rsidP="006D25C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D4A5F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1D4A5F">
        <w:rPr>
          <w:sz w:val="24"/>
          <w:szCs w:val="24"/>
        </w:rPr>
        <w:t xml:space="preserve"> муниципальной услуги «</w:t>
      </w:r>
      <w:r w:rsidRPr="001D4A5F">
        <w:rPr>
          <w:color w:val="000000"/>
          <w:sz w:val="24"/>
          <w:szCs w:val="24"/>
        </w:rPr>
        <w:t xml:space="preserve">Выдача разрешения </w:t>
      </w:r>
    </w:p>
    <w:p w:rsidR="006D25C0" w:rsidRPr="001D4A5F" w:rsidRDefault="006D25C0" w:rsidP="006D25C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D4A5F">
        <w:rPr>
          <w:color w:val="000000"/>
          <w:sz w:val="24"/>
          <w:szCs w:val="24"/>
        </w:rPr>
        <w:t xml:space="preserve">на строительство (за исключением случаев, предусмотренных </w:t>
      </w:r>
    </w:p>
    <w:p w:rsidR="006D25C0" w:rsidRPr="001D4A5F" w:rsidRDefault="006D25C0" w:rsidP="006D25C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D4A5F">
        <w:rPr>
          <w:color w:val="000000"/>
          <w:sz w:val="24"/>
          <w:szCs w:val="24"/>
        </w:rPr>
        <w:t xml:space="preserve">Градостроительным кодексом Российской Федерации, </w:t>
      </w:r>
    </w:p>
    <w:p w:rsidR="006D25C0" w:rsidRPr="001D4A5F" w:rsidRDefault="006D25C0" w:rsidP="006D25C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D4A5F">
        <w:rPr>
          <w:color w:val="000000"/>
          <w:sz w:val="24"/>
          <w:szCs w:val="24"/>
        </w:rPr>
        <w:t xml:space="preserve">иными федеральными законами) при осуществлении строительства, </w:t>
      </w:r>
    </w:p>
    <w:p w:rsidR="006D25C0" w:rsidRPr="001D4A5F" w:rsidRDefault="006D25C0" w:rsidP="006D25C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D4A5F">
        <w:rPr>
          <w:color w:val="000000"/>
          <w:sz w:val="24"/>
          <w:szCs w:val="24"/>
        </w:rPr>
        <w:t xml:space="preserve">реконструкции объекта капитального строительства, </w:t>
      </w:r>
    </w:p>
    <w:p w:rsidR="006D25C0" w:rsidRPr="001D4A5F" w:rsidRDefault="006D25C0" w:rsidP="006D25C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4A5F">
        <w:rPr>
          <w:color w:val="000000"/>
          <w:sz w:val="24"/>
          <w:szCs w:val="24"/>
        </w:rPr>
        <w:t>расположенного на территории</w:t>
      </w:r>
      <w:r w:rsidRPr="001D4A5F">
        <w:rPr>
          <w:sz w:val="24"/>
          <w:szCs w:val="24"/>
        </w:rPr>
        <w:t xml:space="preserve"> городского поселения </w:t>
      </w:r>
      <w:proofErr w:type="spellStart"/>
      <w:r w:rsidRPr="001D4A5F">
        <w:rPr>
          <w:sz w:val="24"/>
          <w:szCs w:val="24"/>
        </w:rPr>
        <w:t>Приобье</w:t>
      </w:r>
      <w:proofErr w:type="spellEnd"/>
      <w:r w:rsidRPr="001D4A5F">
        <w:rPr>
          <w:sz w:val="24"/>
          <w:szCs w:val="24"/>
        </w:rPr>
        <w:t>»</w:t>
      </w:r>
    </w:p>
    <w:p w:rsidR="006D25C0" w:rsidRDefault="006D25C0" w:rsidP="006D25C0">
      <w:pPr>
        <w:jc w:val="both"/>
        <w:rPr>
          <w:kern w:val="0"/>
          <w:sz w:val="24"/>
          <w:szCs w:val="24"/>
        </w:rPr>
      </w:pPr>
    </w:p>
    <w:p w:rsidR="006D25C0" w:rsidRPr="001D4A5F" w:rsidRDefault="006D25C0" w:rsidP="006D25C0">
      <w:pPr>
        <w:ind w:firstLine="708"/>
        <w:jc w:val="both"/>
        <w:rPr>
          <w:kern w:val="0"/>
          <w:sz w:val="24"/>
          <w:szCs w:val="24"/>
        </w:rPr>
      </w:pPr>
      <w:r w:rsidRPr="001D4A5F">
        <w:rPr>
          <w:kern w:val="0"/>
          <w:sz w:val="24"/>
          <w:szCs w:val="24"/>
        </w:rPr>
        <w:t>В соответствии с положениями Градостроительного кодекса Российской Федерации, Федерального закона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>
        <w:rPr>
          <w:kern w:val="0"/>
          <w:sz w:val="24"/>
          <w:szCs w:val="24"/>
        </w:rPr>
        <w:t xml:space="preserve">, Устава 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>:</w:t>
      </w:r>
      <w:r w:rsidRPr="001D4A5F">
        <w:rPr>
          <w:kern w:val="0"/>
          <w:sz w:val="24"/>
          <w:szCs w:val="24"/>
        </w:rPr>
        <w:tab/>
      </w:r>
    </w:p>
    <w:p w:rsidR="006D25C0" w:rsidRPr="001D4A5F" w:rsidRDefault="006D25C0" w:rsidP="006D25C0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</w:t>
      </w:r>
      <w:r w:rsidRPr="001D4A5F">
        <w:rPr>
          <w:kern w:val="0"/>
          <w:sz w:val="24"/>
          <w:szCs w:val="24"/>
        </w:rPr>
        <w:t>нести в Административный регламент предо</w:t>
      </w:r>
      <w:r>
        <w:rPr>
          <w:kern w:val="0"/>
          <w:sz w:val="24"/>
          <w:szCs w:val="24"/>
        </w:rPr>
        <w:t>ставлени</w:t>
      </w:r>
      <w:r>
        <w:rPr>
          <w:kern w:val="0"/>
          <w:sz w:val="24"/>
          <w:szCs w:val="24"/>
        </w:rPr>
        <w:t>я</w:t>
      </w:r>
      <w:r>
        <w:rPr>
          <w:kern w:val="0"/>
          <w:sz w:val="24"/>
          <w:szCs w:val="24"/>
        </w:rPr>
        <w:t xml:space="preserve"> муниципальной услуги «Выдача разрешения </w:t>
      </w:r>
      <w:r w:rsidRPr="002611FC">
        <w:rPr>
          <w:kern w:val="0"/>
          <w:sz w:val="24"/>
          <w:szCs w:val="24"/>
        </w:rPr>
        <w:t>на строительство (за исключ</w:t>
      </w:r>
      <w:r>
        <w:rPr>
          <w:kern w:val="0"/>
          <w:sz w:val="24"/>
          <w:szCs w:val="24"/>
        </w:rPr>
        <w:t xml:space="preserve">ением случаев, предусмотренных </w:t>
      </w:r>
      <w:r w:rsidRPr="002611FC">
        <w:rPr>
          <w:kern w:val="0"/>
          <w:sz w:val="24"/>
          <w:szCs w:val="24"/>
        </w:rPr>
        <w:t xml:space="preserve">Градостроительным </w:t>
      </w:r>
      <w:r>
        <w:rPr>
          <w:kern w:val="0"/>
          <w:sz w:val="24"/>
          <w:szCs w:val="24"/>
        </w:rPr>
        <w:t xml:space="preserve">кодексом Российской Федерации, </w:t>
      </w:r>
      <w:r w:rsidRPr="002611FC">
        <w:rPr>
          <w:kern w:val="0"/>
          <w:sz w:val="24"/>
          <w:szCs w:val="24"/>
        </w:rPr>
        <w:t>иными федеральными законами) при осуществлении строит</w:t>
      </w:r>
      <w:r>
        <w:rPr>
          <w:kern w:val="0"/>
          <w:sz w:val="24"/>
          <w:szCs w:val="24"/>
        </w:rPr>
        <w:t xml:space="preserve">ельства, </w:t>
      </w:r>
      <w:r w:rsidRPr="002611FC">
        <w:rPr>
          <w:kern w:val="0"/>
          <w:sz w:val="24"/>
          <w:szCs w:val="24"/>
        </w:rPr>
        <w:t>реконструкции объек</w:t>
      </w:r>
      <w:r>
        <w:rPr>
          <w:kern w:val="0"/>
          <w:sz w:val="24"/>
          <w:szCs w:val="24"/>
        </w:rPr>
        <w:t xml:space="preserve">та капитального строительства, </w:t>
      </w:r>
      <w:r w:rsidRPr="002611FC">
        <w:rPr>
          <w:kern w:val="0"/>
          <w:sz w:val="24"/>
          <w:szCs w:val="24"/>
        </w:rPr>
        <w:t>расположенного на территор</w:t>
      </w:r>
      <w:r>
        <w:rPr>
          <w:kern w:val="0"/>
          <w:sz w:val="24"/>
          <w:szCs w:val="24"/>
        </w:rPr>
        <w:t xml:space="preserve">ии 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>»</w:t>
      </w:r>
      <w:r>
        <w:rPr>
          <w:kern w:val="0"/>
          <w:sz w:val="24"/>
          <w:szCs w:val="24"/>
        </w:rPr>
        <w:t xml:space="preserve"> от 19.06.2018г. №289</w:t>
      </w:r>
      <w:r w:rsidRPr="001D4A5F">
        <w:rPr>
          <w:kern w:val="0"/>
          <w:sz w:val="24"/>
          <w:szCs w:val="24"/>
        </w:rPr>
        <w:t>, следующие изменения:</w:t>
      </w:r>
    </w:p>
    <w:p w:rsidR="006D25C0" w:rsidRPr="00EE4316" w:rsidRDefault="006D25C0" w:rsidP="006D25C0">
      <w:pPr>
        <w:autoSpaceDE w:val="0"/>
        <w:autoSpaceDN w:val="0"/>
        <w:adjustRightInd w:val="0"/>
        <w:ind w:firstLine="709"/>
        <w:jc w:val="both"/>
        <w:rPr>
          <w:rFonts w:ascii="Sylfaen" w:hAnsi="Sylfaen" w:cs="Sylfaen"/>
          <w:kern w:val="0"/>
          <w:sz w:val="24"/>
          <w:szCs w:val="24"/>
        </w:rPr>
      </w:pPr>
      <w:r w:rsidRPr="00EE4316">
        <w:rPr>
          <w:rFonts w:ascii="Sylfaen" w:hAnsi="Sylfaen" w:cs="Sylfaen"/>
          <w:kern w:val="0"/>
          <w:sz w:val="24"/>
          <w:szCs w:val="24"/>
        </w:rPr>
        <w:t xml:space="preserve">1. </w:t>
      </w:r>
      <w:proofErr w:type="spellStart"/>
      <w:r w:rsidRPr="00EE4316">
        <w:rPr>
          <w:rFonts w:ascii="Sylfaen" w:hAnsi="Sylfaen" w:cs="Sylfaen"/>
          <w:kern w:val="0"/>
          <w:sz w:val="24"/>
          <w:szCs w:val="24"/>
        </w:rPr>
        <w:t>абз</w:t>
      </w:r>
      <w:proofErr w:type="spellEnd"/>
      <w:r w:rsidRPr="00EE4316">
        <w:rPr>
          <w:rFonts w:ascii="Sylfaen" w:hAnsi="Sylfaen" w:cs="Sylfaen"/>
          <w:kern w:val="0"/>
          <w:sz w:val="24"/>
          <w:szCs w:val="24"/>
        </w:rPr>
        <w:t>. 2 п. 2.6.1 изложить в следующей редакции:</w:t>
      </w:r>
    </w:p>
    <w:p w:rsidR="006D25C0" w:rsidRPr="00EE4316" w:rsidRDefault="006D25C0" w:rsidP="006D25C0">
      <w:pPr>
        <w:autoSpaceDE w:val="0"/>
        <w:autoSpaceDN w:val="0"/>
        <w:adjustRightInd w:val="0"/>
        <w:ind w:firstLine="709"/>
        <w:jc w:val="both"/>
        <w:rPr>
          <w:rFonts w:ascii="Sylfaen" w:hAnsi="Sylfaen" w:cs="Sylfaen"/>
          <w:kern w:val="0"/>
          <w:sz w:val="24"/>
          <w:szCs w:val="24"/>
        </w:rPr>
      </w:pPr>
      <w:r w:rsidRPr="00EE4316">
        <w:rPr>
          <w:rFonts w:ascii="Sylfaen" w:hAnsi="Sylfaen" w:cs="Sylfaen"/>
          <w:kern w:val="0"/>
          <w:sz w:val="24"/>
          <w:szCs w:val="24"/>
        </w:rPr>
        <w:t>«</w:t>
      </w:r>
      <w:r w:rsidRPr="00EE4316">
        <w:rPr>
          <w:bCs/>
          <w:color w:val="000000"/>
          <w:kern w:val="0"/>
          <w:sz w:val="24"/>
          <w:szCs w:val="24"/>
          <w:shd w:val="clear" w:color="auto" w:fill="FFFFFF"/>
        </w:rPr>
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anchor="block_573011" w:history="1">
        <w:r w:rsidRPr="00EE4316">
          <w:rPr>
            <w:bCs/>
            <w:kern w:val="0"/>
            <w:sz w:val="24"/>
            <w:szCs w:val="24"/>
          </w:rPr>
          <w:t>ч. 1.1 ст. 57.3</w:t>
        </w:r>
      </w:hyperlink>
      <w:r w:rsidRPr="00EE4316">
        <w:rPr>
          <w:bCs/>
          <w:kern w:val="0"/>
          <w:sz w:val="24"/>
          <w:szCs w:val="24"/>
          <w:shd w:val="clear" w:color="auto" w:fill="FFFFFF"/>
        </w:rPr>
        <w:t xml:space="preserve"> </w:t>
      </w:r>
      <w:r w:rsidRPr="00EE4316">
        <w:rPr>
          <w:rFonts w:eastAsia="Calibri"/>
          <w:kern w:val="0"/>
          <w:sz w:val="24"/>
          <w:szCs w:val="24"/>
          <w:lang w:eastAsia="en-US"/>
        </w:rPr>
        <w:t>Градостроительного кодекса РФ</w:t>
      </w:r>
      <w:r w:rsidRPr="00EE4316">
        <w:rPr>
          <w:bCs/>
          <w:kern w:val="0"/>
          <w:sz w:val="24"/>
          <w:szCs w:val="24"/>
          <w:shd w:val="clear" w:color="auto" w:fill="FFFFFF"/>
        </w:rPr>
        <w:t>.</w:t>
      </w:r>
    </w:p>
    <w:p w:rsidR="006D25C0" w:rsidRPr="00EE4316" w:rsidRDefault="006D25C0" w:rsidP="006D25C0">
      <w:pPr>
        <w:autoSpaceDE w:val="0"/>
        <w:autoSpaceDN w:val="0"/>
        <w:adjustRightInd w:val="0"/>
        <w:ind w:firstLine="709"/>
        <w:jc w:val="both"/>
        <w:rPr>
          <w:rFonts w:ascii="Sylfaen" w:hAnsi="Sylfaen" w:cs="Sylfaen"/>
          <w:kern w:val="0"/>
          <w:sz w:val="24"/>
          <w:szCs w:val="24"/>
        </w:rPr>
      </w:pPr>
      <w:r w:rsidRPr="00EE4316">
        <w:rPr>
          <w:rFonts w:eastAsia="Calibri"/>
          <w:kern w:val="0"/>
          <w:sz w:val="24"/>
          <w:szCs w:val="24"/>
          <w:lang w:eastAsia="en-US"/>
        </w:rPr>
        <w:t xml:space="preserve">В случае, если земельный участок или земельные участки для строительства, реконструкции объекта капитального строительства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правоустанавливающих документов к </w:t>
      </w:r>
      <w:r w:rsidRPr="00EE4316">
        <w:rPr>
          <w:rFonts w:eastAsia="Calibri"/>
          <w:kern w:val="0"/>
          <w:sz w:val="24"/>
          <w:szCs w:val="24"/>
          <w:lang w:eastAsia="en-US"/>
        </w:rPr>
        <w:lastRenderedPageBreak/>
        <w:t>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  <w:r w:rsidRPr="00EE4316">
        <w:rPr>
          <w:color w:val="000000"/>
          <w:spacing w:val="4"/>
          <w:kern w:val="0"/>
          <w:sz w:val="24"/>
          <w:szCs w:val="24"/>
        </w:rPr>
        <w:t>".</w:t>
      </w:r>
    </w:p>
    <w:p w:rsidR="006D25C0" w:rsidRPr="00EE4316" w:rsidRDefault="006D25C0" w:rsidP="006D25C0">
      <w:pPr>
        <w:autoSpaceDE w:val="0"/>
        <w:autoSpaceDN w:val="0"/>
        <w:adjustRightInd w:val="0"/>
        <w:ind w:firstLine="709"/>
        <w:jc w:val="both"/>
        <w:rPr>
          <w:rFonts w:ascii="Sylfaen" w:hAnsi="Sylfaen" w:cs="Sylfaen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2.</w:t>
      </w:r>
      <w:r w:rsidRPr="00EE4316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Pr="00EE4316">
        <w:rPr>
          <w:rFonts w:eastAsia="Calibri"/>
          <w:kern w:val="0"/>
          <w:sz w:val="24"/>
          <w:szCs w:val="24"/>
          <w:lang w:eastAsia="en-US"/>
        </w:rPr>
        <w:t>абз</w:t>
      </w:r>
      <w:proofErr w:type="spellEnd"/>
      <w:r w:rsidRPr="00EE4316">
        <w:rPr>
          <w:rFonts w:eastAsia="Calibri"/>
          <w:kern w:val="0"/>
          <w:sz w:val="24"/>
          <w:szCs w:val="24"/>
          <w:lang w:eastAsia="en-US"/>
        </w:rPr>
        <w:t>. 5 п. 2.6.1 после слова " документации" дополнить словами "(в части соответствия проектной документации требованиям, указанным в пункте 1 части 5 статьи 49 Градостроительного кодекса РФ)"</w:t>
      </w:r>
      <w:r>
        <w:rPr>
          <w:rFonts w:ascii="Sylfaen" w:hAnsi="Sylfaen" w:cs="Sylfaen"/>
          <w:kern w:val="0"/>
          <w:sz w:val="24"/>
          <w:szCs w:val="24"/>
        </w:rPr>
        <w:t>.</w:t>
      </w:r>
    </w:p>
    <w:p w:rsidR="006D25C0" w:rsidRPr="00096A1F" w:rsidRDefault="006D25C0" w:rsidP="006D25C0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  <w:r w:rsidRPr="00096A1F">
        <w:rPr>
          <w:kern w:val="0"/>
          <w:sz w:val="24"/>
          <w:szCs w:val="24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Pr="00096A1F">
        <w:rPr>
          <w:kern w:val="0"/>
          <w:sz w:val="24"/>
          <w:szCs w:val="24"/>
        </w:rPr>
        <w:t>Приобье</w:t>
      </w:r>
      <w:proofErr w:type="spellEnd"/>
      <w:r w:rsidRPr="00096A1F">
        <w:rPr>
          <w:kern w:val="0"/>
          <w:sz w:val="24"/>
          <w:szCs w:val="24"/>
        </w:rPr>
        <w:t>, в помещении библиотеки МБУ «КИЦ «</w:t>
      </w:r>
      <w:proofErr w:type="spellStart"/>
      <w:r w:rsidRPr="00096A1F">
        <w:rPr>
          <w:kern w:val="0"/>
          <w:sz w:val="24"/>
          <w:szCs w:val="24"/>
        </w:rPr>
        <w:t>КреДо</w:t>
      </w:r>
      <w:proofErr w:type="spellEnd"/>
      <w:r w:rsidRPr="00096A1F">
        <w:rPr>
          <w:kern w:val="0"/>
          <w:sz w:val="24"/>
          <w:szCs w:val="24"/>
        </w:rPr>
        <w:t xml:space="preserve">», а также разместить на официальном веб-сайте администрации муниципального образования городское поселения </w:t>
      </w:r>
      <w:proofErr w:type="spellStart"/>
      <w:r w:rsidRPr="00096A1F">
        <w:rPr>
          <w:kern w:val="0"/>
          <w:sz w:val="24"/>
          <w:szCs w:val="24"/>
        </w:rPr>
        <w:t>Приобье</w:t>
      </w:r>
      <w:proofErr w:type="spellEnd"/>
      <w:r w:rsidRPr="00096A1F">
        <w:rPr>
          <w:kern w:val="0"/>
          <w:sz w:val="24"/>
          <w:szCs w:val="24"/>
        </w:rPr>
        <w:t xml:space="preserve"> в информационно-телекоммуникационной сети «Интернет».</w:t>
      </w:r>
    </w:p>
    <w:p w:rsidR="006D25C0" w:rsidRPr="00096A1F" w:rsidRDefault="006D25C0" w:rsidP="006D25C0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096A1F">
        <w:rPr>
          <w:kern w:val="0"/>
          <w:sz w:val="24"/>
          <w:szCs w:val="24"/>
        </w:rPr>
        <w:t>. Настоящее постановление вступает в силу со дня его обнародования.</w:t>
      </w:r>
    </w:p>
    <w:p w:rsidR="006D25C0" w:rsidRPr="00096A1F" w:rsidRDefault="006D25C0" w:rsidP="006D25C0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Pr="00096A1F">
        <w:rPr>
          <w:kern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6D25C0" w:rsidRDefault="006D25C0" w:rsidP="006D25C0">
      <w:pPr>
        <w:ind w:firstLine="708"/>
        <w:jc w:val="both"/>
        <w:rPr>
          <w:kern w:val="0"/>
          <w:sz w:val="24"/>
          <w:szCs w:val="24"/>
        </w:rPr>
      </w:pPr>
    </w:p>
    <w:p w:rsidR="006D25C0" w:rsidRDefault="006D25C0" w:rsidP="006D25C0">
      <w:pPr>
        <w:ind w:firstLine="708"/>
        <w:jc w:val="both"/>
        <w:rPr>
          <w:kern w:val="0"/>
          <w:sz w:val="24"/>
          <w:szCs w:val="24"/>
        </w:rPr>
      </w:pPr>
    </w:p>
    <w:p w:rsidR="006D25C0" w:rsidRDefault="006D25C0" w:rsidP="006D25C0">
      <w:pPr>
        <w:ind w:firstLine="708"/>
        <w:jc w:val="both"/>
        <w:rPr>
          <w:kern w:val="0"/>
          <w:sz w:val="24"/>
          <w:szCs w:val="24"/>
        </w:rPr>
      </w:pPr>
    </w:p>
    <w:p w:rsidR="006D25C0" w:rsidRDefault="006D25C0" w:rsidP="006D25C0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</w:t>
      </w:r>
    </w:p>
    <w:p w:rsidR="006D25C0" w:rsidRDefault="006D25C0" w:rsidP="006D25C0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Глава городского </w:t>
      </w:r>
      <w:r>
        <w:rPr>
          <w:kern w:val="0"/>
          <w:sz w:val="24"/>
          <w:szCs w:val="24"/>
        </w:rPr>
        <w:t xml:space="preserve">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                                                        </w:t>
      </w:r>
      <w:proofErr w:type="spellStart"/>
      <w:r>
        <w:rPr>
          <w:kern w:val="0"/>
          <w:sz w:val="24"/>
          <w:szCs w:val="24"/>
        </w:rPr>
        <w:t>Е.Ю.Ермаков</w:t>
      </w:r>
      <w:proofErr w:type="spellEnd"/>
    </w:p>
    <w:p w:rsidR="006D25C0" w:rsidRDefault="006D25C0" w:rsidP="006D25C0">
      <w:pPr>
        <w:ind w:firstLine="708"/>
        <w:jc w:val="both"/>
        <w:rPr>
          <w:kern w:val="0"/>
          <w:sz w:val="24"/>
          <w:szCs w:val="24"/>
        </w:rPr>
      </w:pPr>
    </w:p>
    <w:p w:rsidR="006D25C0" w:rsidRDefault="006D25C0" w:rsidP="006D25C0">
      <w:pPr>
        <w:ind w:firstLine="708"/>
        <w:jc w:val="both"/>
        <w:rPr>
          <w:kern w:val="0"/>
          <w:sz w:val="24"/>
          <w:szCs w:val="24"/>
        </w:rPr>
      </w:pPr>
    </w:p>
    <w:p w:rsidR="00983EB9" w:rsidRDefault="00983EB9"/>
    <w:sectPr w:rsidR="00983EB9" w:rsidSect="006D25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DC"/>
    <w:rsid w:val="00176C67"/>
    <w:rsid w:val="00245630"/>
    <w:rsid w:val="0064110F"/>
    <w:rsid w:val="006D25C0"/>
    <w:rsid w:val="00983EB9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B09"/>
  <w15:chartTrackingRefBased/>
  <w15:docId w15:val="{D52FBC79-AEE8-494B-B94E-205AAAB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C0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C0"/>
    <w:rPr>
      <w:rFonts w:ascii="Segoe UI" w:eastAsia="Times New Roman" w:hAnsi="Segoe UI" w:cs="Segoe UI"/>
      <w:kern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8258/4609957c7e9b89030a138487e5753d6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2020-12-03T10:19:00Z</cp:lastPrinted>
  <dcterms:created xsi:type="dcterms:W3CDTF">2020-12-03T10:14:00Z</dcterms:created>
  <dcterms:modified xsi:type="dcterms:W3CDTF">2020-12-03T10:57:00Z</dcterms:modified>
</cp:coreProperties>
</file>